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2"/>
      </w:tblGrid>
      <w:tr>
        <w:trPr/>
        <w:tc>
          <w:tcPr>
            <w:tcW w:w="14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  <w:shd w:fill="auto" w:val="clear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CHEMII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Times New Roman" w:cs="Times New Roman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CHEMII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bidi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center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pl-PL" w:eastAsia="zh-CN" w:bidi="hi-IN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02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napToGrid w:val="false"/>
      <w:spacing w:before="240" w:after="120"/>
    </w:pPr>
    <w:rPr>
      <w:rFonts w:ascii="Liberation Sans" w:hAnsi="Liberation Sans" w:eastAsia="Microsoft YaHei" w:cs="Arial"/>
      <w:b w:val="false"/>
      <w:bCs w:val="false"/>
      <w:color w:val="000000"/>
      <w:sz w:val="18"/>
      <w:szCs w:val="18"/>
      <w:shd w:fill="auto" w:val="clear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LibreOffice/7.2.0.4$Windows_X86_64 LibreOffice_project/9a9c6381e3f7a62afc1329bd359cc48accb6435b</Application>
  <AppVersion>15.0000</AppVersion>
  <Pages>8</Pages>
  <Words>1210</Words>
  <Characters>6792</Characters>
  <CharactersWithSpaces>7614</CharactersWithSpaces>
  <Paragraphs>508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2021-05-27T21:13:19Z</dcterms:created>
  <dc:creator/>
  <dc:description/>
  <dc:language>pl-PL</dc:language>
  <cp:lastModifiedBy/>
  <cp:lastPrinted>2021-09-09T11:19:53Z</cp:lastPrinted>
  <dcterms:modified xsi:type="dcterms:W3CDTF">2021-09-09T15:13:12Z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