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highlight w:val="none"/>
          <w:shd w:fill="auto" w:val="clear"/>
        </w:rPr>
      </w:pPr>
      <w:r>
        <w:rPr>
          <w:rFonts w:eastAsia="Humanist521PL-Roman, 'MS Mincho" w:cs="Calibri" w:ascii="Calibri" w:hAnsi="Calibri" w:asciiTheme="minorHAnsi" w:cstheme="minorHAnsi" w:hAnsiTheme="minorHAnsi"/>
          <w:b/>
          <w:shd w:fill="auto" w:val="clear"/>
        </w:rPr>
        <w:t>WYMAGANIA NA POSZCZEGÓLNE OCENY Z MATEMATYKI W KLASIE VI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highlight w:val="none"/>
          <w:shd w:fill="auto" w:val="clear"/>
        </w:rPr>
      </w:pPr>
      <w:r>
        <w:rPr>
          <w:rFonts w:cs="Calibri" w:cstheme="minorHAnsi" w:ascii="Calibri" w:hAnsi="Calibri"/>
          <w:shd w:fill="auto" w:val="clear"/>
        </w:rPr>
      </w:r>
    </w:p>
    <w:p>
      <w:pPr>
        <w:pStyle w:val="Standard"/>
        <w:rPr>
          <w:highlight w:val="none"/>
          <w:shd w:fill="auto" w:val="clear"/>
        </w:rPr>
      </w:pPr>
      <w:r>
        <w:rPr>
          <w:rFonts w:cs="Calibri" w:cstheme="minorHAnsi"/>
          <w:b/>
          <w:sz w:val="20"/>
          <w:szCs w:val="20"/>
          <w:shd w:fill="auto" w:val="clear"/>
        </w:rPr>
        <w:t>Poziomy wymagań edukacyjnych:</w:t>
      </w:r>
    </w:p>
    <w:p>
      <w:pPr>
        <w:pStyle w:val="Standard"/>
        <w:rPr>
          <w:highlight w:val="none"/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>K – konieczny – ocena dopuszczająca (2)</w:t>
      </w:r>
    </w:p>
    <w:p>
      <w:pPr>
        <w:pStyle w:val="Standard"/>
        <w:rPr>
          <w:highlight w:val="none"/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>P – podstawowy – ocena dostateczna (3)</w:t>
      </w:r>
    </w:p>
    <w:p>
      <w:pPr>
        <w:pStyle w:val="Standard"/>
        <w:rPr>
          <w:highlight w:val="none"/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>R – rozszerzający – ocena dobra (4)</w:t>
      </w:r>
    </w:p>
    <w:p>
      <w:pPr>
        <w:pStyle w:val="Standard"/>
        <w:rPr>
          <w:highlight w:val="none"/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>D – dopełniający – ocena bardzo dobra (5)</w:t>
      </w:r>
    </w:p>
    <w:p>
      <w:pPr>
        <w:pStyle w:val="Standard"/>
        <w:rPr>
          <w:highlight w:val="none"/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>W – wykraczający – ocena celująca (6)</w:t>
      </w:r>
    </w:p>
    <w:tbl>
      <w:tblPr>
        <w:tblStyle w:val="Tabela-Siatka"/>
        <w:tblW w:w="1082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0"/>
      </w:tblGrid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LICZBY NATURALNE I UŁAMKI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highlight w:val="none"/>
                <w:shd w:fill="auto" w:val="clear"/>
                <w:lang w:val="pl-PL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  <w:shd w:fill="auto" w:val="clear"/>
                <w:lang w:val="pl-PL" w:bidi="ar-SA"/>
              </w:rPr>
              <w:t xml:space="preserve">Wymagania na ocenę dopuszczającą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shd w:fill="auto" w:val="clear"/>
                <w:lang w:val="pl-PL" w:bidi="ar-SA"/>
              </w:rPr>
              <w:t>(2)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zna nazwy działań (K)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na kolejność wykonywania działań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potęgi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algorytm mnożenia i dzielenia ułamków dziesiętnych przez 10, 100, 1000,..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algorytmy czterech działań pisemnych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zasadę skracania i rozszerzania ułamków zwykłych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ułamka nieskracalnego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pojęcie ułamka jako: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ilorazu dwóch liczb naturalnych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części całości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algorytm zamiany liczby mieszanej na ułamek niewłaściwy i odwrotnie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algorytmy czterech działań na ułamkach zwykłych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zasadę zamiany ułamka zwykłego na ułamek dziesiętny metodą rozszerzania lub skracania ułamka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zasadę zamiany ułamka dziesiętnego na ułamek zwykły (K)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zaznaczyć i odczytać na osi liczbowej: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liczbę naturalną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ułamek zwykły i dziesiętny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umie dodawać i odejmować w pamięci: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dwucyfrowe liczby naturalne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ułamki dziesiętne o jednakowej liczbie cyfr po przecinku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umie mnożyć i dzielić w pamięci ułamki dziesiętne w ramach tabliczki mnożenia (K)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dodawać, odejmować, mnożyć i dzielić ułamki zwykłe i ułamki dziesiętne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zamienić ułamek zwykły na ułamek dziesiętny i odwrotnie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kwadrat i sześcian: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liczby naturalnej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ułamka dziesiętnego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pisemnie wykonać każde z czterech działań na ułamkach dziesiętnych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wyciągać całości z ułamków niewłaściwych oraz zamieniać liczby mieszane na ułamki niewłaściwe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iloczyny w postaci potęgi (K-P)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Wymagania  na ocenę dostateczną (3)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zasadę zamiany ułamka zwykłego na ułamek dziesiętny metodą dzielenia licznika przez mianownik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rozwinięcia dziesiętnego skończonego i rozwinięcia dziesiętnego nieskończonego okresowego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zasadę zamiany ułamka zwykłego na ułamek dziesiętny metodą dzielenia licznika przez mianownik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zaznaczyć i odczytać na osi liczbowej ułamek dziesiętny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pamięciowo dodawać i odejmować: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ułamki dziesiętne różniące się liczbą cyfr po przecinku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wielocyfrowe liczby naturalne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mnożyć i dzielić w pamięci ułamki dziesiętne wykraczające poza tabliczkę mnożenia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mnożyć i dzielić w pamięci dwucyfrowe i wielocyfrowe (proste przykłady) liczby naturalne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tworzyć wyrażenia arytmetyczne na podstawie treści zadań i obliczać wartości tych wyrażeń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ułamek z ułamka lub liczby mieszanej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 zastosowaniem działań na ułamkach zwykłych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ułamek zwykły z ułamkiem dziesiętnym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porządkować ułamki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wyrażenia arytmetycznego zawierającego 4 działania na liczbach wymiernych dodatnich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podać rozwinięcie dziesiętne ułamka zwykłego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w skróconej postaci rozwinięcie dziesiętne ułamka zwykłego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 kolejną cyfrę rozwinięcia dziesiętnego na podstawie jego skróconego zapisu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wyrażenia arytmetycznego zawierającego potęgi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potęgami (P-R)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(4)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wyrażenia arytmetycznego zawierającego działania na liczbach naturalnych i ułamkach dziesiętnych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szacować wartości wyrażeń arytmetycznych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 zastosowaniem działań na liczbach naturalnych i ułamkach dziesiętnych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podnosić do kwadratu i sześcianu liczby mieszane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wyrażenia arytmetycznego zawierającego 4 działania oraz potęgowanie ułamków zwykłych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działaniami na ułamkach zwykłych i dziesiętnych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rozwinięcia dziesiętne liczb zapisanych w skróconej postaci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liczby wymierne dodatnie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ułamka piętrowego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wyrażenia arytmetycznego zawierającego działania na liczbach wymiernych dodatnich (R-W)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liczbę w postaci potęgi liczby10 (R)</w:t>
            </w:r>
            <w:bookmarkStart w:id="0" w:name="_GoBack"/>
            <w:bookmarkEnd w:id="0"/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Wymagania na ocenę bardzo dobrą (5)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warunek konieczny zamiany ułamka zwykłego na ułamek dziesiętny skończony (D)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tworzyć wyrażenia arytmetyczne na podstawie treści zadań i obliczać wartości tych wyrażeń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wyrażenia arytmetycznego zawierającego działania na liczbach naturalnych i ułamkach dziesiętnych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 zastosowaniem działań na liczbach naturalnych i ułamkach dziesiętnych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 zastosowaniem działań na liczbach naturalnych i ułamkach dziesiętnych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 zastosowaniem działań na ułamkach zwykłych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działaniami na ułamkach zwykłych i dziesiętnych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 rodzaj rozwinięcia dziesiętnego ułamka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rozwinięciami dziesiętnymi ułamków zwykłych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 ostatnią cyfrę potęgi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potęgami (D-W)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Style w:val="Tabela-Siatka"/>
        <w:tblW w:w="1082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0"/>
      </w:tblGrid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FIGURY NA PŁASZCZYŹNIE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highlight w:val="none"/>
                <w:shd w:fill="auto" w:val="clear"/>
                <w:lang w:val="pl-PL" w:bidi="ar-SA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sz w:val="20"/>
                <w:szCs w:val="20"/>
                <w:shd w:fill="auto" w:val="clear"/>
                <w:lang w:val="pl-PL" w:bidi="ar-SA"/>
              </w:rPr>
              <w:t xml:space="preserve">Wymagania na ocenę dopuszczającą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shd w:fill="auto" w:val="clear"/>
                <w:lang w:val="pl-PL" w:bidi="ar-SA"/>
              </w:rPr>
              <w:t>(2)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pojęcia: prosta, półprosta, odcinek,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pojęcia: koło i okrąg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elementy koła i okręgu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zależność między długością promienia i średnicy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rodzaje trójkątów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nazwy boków w trójkącie równoramiennym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nazwy boków w trójkącie prostokątnym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nazwy czworokątów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własności czworokątów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definicję przekątnej oraz obwodu wielokąta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zależność między liczbą boków, wierzchołków i kątów w wielokącie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kąta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wierzchołka i ramion kąta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podział kątów ze względu na miarę prosty, ostry, rozwarty(K),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podział kątów ze względu na położenie przyległe, wierzchołkowe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zapis symboliczny kąta i jego miary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sumę miar kątów wewnętrznych trójkąta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sumę miar kątów wewnętrznych czworokąta (K)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różnicę między prostą i odcinkiem, prostą i półprostą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konieczność stosowania odpowiednich przyrządów do rysowania figur geometrycznych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pochodzenie nazw poszczególnych rodzajów trójkątów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związki miarowe poszczególnych rodzajów kątów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za pomocą ekierki i linijki proste i odcinki prostopadłe oraz proste i odcinki równoległe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poszczególne elementy w okręgu i w kole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kreślić koło i okrąg o danym promieniu lub o danej średnicy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poszczególne rodzaje trójkątów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obwód trójkąta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czworokąt, mając informacje o  bokach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na rysunku wielokąt o określonych cechach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obwód czworokąta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zmierzyć kąt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kąt o określonej mierze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rozróżniać i nazywać poszczególne rodzaje kątów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brakujące miary kątów trójkąta (K-P)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Wymagania  na ocenę dostateczną (3)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definicje odcinków prostopadłych i odcinków równoległych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zależność między bokami w trójkącie równoramiennym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zasady konstrukcji trójkąta o danych trzech bokach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warunek zbudowania trójkąta – nierówność trójkąta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podział kątów ze względu na miarę pełny, półpełny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miary kątów w trójkącie równobocznym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zależność między kątami w trójkącie równoramiennym (P)</w:t>
              <w:tab/>
              <w:t>rozumie różnicę między kołem i okręgiem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za pomocą ekierki i linijki proste równoległe o danej odległości od siebie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zadania tekstowe związane z wzajemnym położeniem odcinków, prostych i półprostych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zadania tekstowe związane z kołem, okręgiem i innymi figurami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trójkąt w skali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długość boku trójkąta równobocznego, znając jego obwód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długość boku trójkąta, znając obwód i informacje o pozostałych bokach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skonstruować trójkąt o danych trzech bokach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sprawdzić, czy z odcinków o danych długościach można zbudować trójkąt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sklasyfikować czworokąty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czworokąt, mając informacje o przekątnych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obwodem czworokąta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brakujące miary kątów przyległych, wierzchołkowych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brakujące miary kątów czworokątów (P-R)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(4)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wzajemne położenie: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prostej i okręgu (R),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okręgów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podział kątów ze względu na miarę wypukły, wklęsły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podział kątów ze względu na położenie odpowiadające, naprzemianległe (R)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konstrukcyjne związane z konstrukcją trójkąta o danych bokach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skonstruować kopię czworokąta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brakujące miary kątów odpowiadających, naprzemianległych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obwodem trójkąta (R-W)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obwodem wielokąta (R-W)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skonstruować równoległobok, znając dwa boki i przekątną (R)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bardzo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(5)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zadania konstrukcyjne związane z kreśleniem prostych prostopadłych   i prostych równoległych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zadania tekstowe związane z kołem, okręgiem i innymi figurami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wykorzystać przenoszenie odcinków w zadaniach konstrukcyjnych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konstrukcyjne związane z konstrukcją trójkąta o danych bokach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skonstruować trapez równoramienny, znając jego podstawy i ramię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związane z zegarem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 miarę kąta przyległego, wierzchołkowego, odpowiadającego, naprzemianległego na podstawie rysunku lub treści zadania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miarami kątów w trójkątach i czworokątach (D-W)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celującą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(6)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konstrukcję prostej prostopadłej do danej, przechodzącej przez dany punkt (W)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konstrukcję prostej równoległej do danej, przechodzącej przez dany punkt (W)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konstrukcyjny sposób wyznaczania środka odcinka (W)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symetralnej odcinka (W)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definicję sześciokąta foremnego oraz sposób jego kreślenia (W)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przybliżenia z niedomiarem oraz przybliżenia z nadmiarem (W)</w:t>
              <w:tab/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skonstruować prostą prostopadłą do danej, przechodzącą przez dany punkt (W)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skonstruować prostą równoległą do danej, przechodzącą przez dany punkt (W)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wyznaczyć środek narysowanego okręgu (W)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Style w:val="Tabela-Siatka"/>
        <w:tblW w:w="1082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0"/>
      </w:tblGrid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LICZBY NA CO DZIEŃ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na ocenę dopuszczającą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(2)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zna jednostki czasu (K)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jednostki długości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jednostki masy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skali i planu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potrzebę stosowania różnorodnych jednostek długości i masy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potrzebę stosowania odpowiedniej skali na mapach i planach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korzyści płynące z umiejętności stosowania kalkulatora do obliczeń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znaczenie podstawowych symboli występujących w instrukcjach i opisach: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diagramów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schematów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innych rysunków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upływ czasu między wydarzeniami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porządkować wydarzenia w kolejności chronologicznej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zamienić jednostki czasu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wykonać obliczenia dotyczące długości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wykonać obliczenia dotyczące masy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zamienić jednostki długości i masy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skalę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długości odcinków w skali lub w rzeczywistości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wykonać obliczenia za pomocą kalkulatora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odczytać dane z: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tabeli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diagramu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odpowiedzieć na pytanie dotyczące znalezionych danych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odczytać dane z wykresu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odpowiedzieć na pytanie dotyczące znalezionych danych (K-R)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dostateczną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(3)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zasady dotyczące lat przestępnych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symbol przybliżenia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konieczność wprowadzenia lat przestępnych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potrzebę zaokrąglania liczb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zasadę sporządzania wykresów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podać przykładowe lata przestępne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wyrażać w różnych jednostkach ten sam upływ czasu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kalendarzem i czasem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wyrażać w różnych jednostkach te same masy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wyrażać w różnych jednostkach te same długości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porządkować wielkości podane w różnych jednostkach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jednostkami długości i masy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ze skalą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zaokrąglić liczbę do danego rzędu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sprawdzić, czy kalkulator zachowuje kolejność działań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wykorzystać kalkulator do rozwiązania zadanie tekstowego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zadanie, odczytując dane z tabeli  i korzystając z kalkulatora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zinterpretować odczytane dane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zinterpretować odczytane dane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przedstawić dane w postaci wykresu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informacje oczytane z dwóch wykresów (P-R)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(4)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funkcje klawiszy pamięci kalkulatora (R)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zaokrąglić liczbę zaznaczoną na osi liczbowej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liczby o podanym zaokrągleniu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zaokrąglić liczbę po zamianie jednostek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informacje oczytane z dwóch wykresów (R-W)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bardzo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(5)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kalendarzem i czasem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jednostkami długości i masy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ze skalą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określić, ile jest liczb o podanym zaokrągleniu spełniających dane warunki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przybliżeniami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wykonać wielodziałaniowe obliczenia za pomocą kalkulatora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wykorzystać kalkulator do rozwiązania zadanie tekstowego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odpowiedzieć na pytanie dotyczące znalezionych danych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tekstowe, w którym potrzebne informacje należy odczytać z tabeli lub schematu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odpowiedzieć na pytanie dotyczące znalezionych danych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dopasować wykres do opisu sytuacji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przedstawić dane w postaci wykresu (D)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celującą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(6)</w:t>
            </w:r>
          </w:p>
        </w:tc>
      </w:tr>
      <w:tr>
        <w:trPr/>
        <w:tc>
          <w:tcPr>
            <w:tcW w:w="1082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przybliżenia z niedomiarem oraz przybliżenia z nadmiarem (W)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Style w:val="Tabela-Siatka"/>
        <w:tblW w:w="1082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0"/>
      </w:tblGrid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PRĘDKOŚĆ, DROGA, CZAS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na ocenę dopuszczającą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(2)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jednostki prędkości (K-P)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 podstawie podanej prędkości wyznaczać długość drogi przebytej w jednostce czasu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drogę, znając stałą prędkość i czas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prędkości dwóch ciał, które przebyły jednakowe drogi w różnych czasach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prędkość w ruchu jednostajnym, znając drogę i czas (K-P)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dostateczną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(3)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algorytm zamiany jednostek prędkości (P-D)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potrzebę stosowania różnych jednostek prędkości (P)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zamieniać jednostki prędkości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prędkości wyrażane w różnych jednostkach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obliczaniem prędkości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czas w ruchu jednostajnym, znając drogę i prędkość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typu prędkość – droga – czas (P-R)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(4)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obliczaniem czasu (R)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obliczaniem prędkości (R-W)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bardzo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(5)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obliczaniem drogi w ruchu jednostajnym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obliczaniem czasu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typu prędkość – droga – czas (D-W)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Style w:val="Tabela-Siatka"/>
        <w:tblW w:w="1082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0"/>
      </w:tblGrid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POLA WIELOKĄTÓW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na ocenę dopuszczającą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(2)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jednostki miary pola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wzory na obliczanie pola prostokąta i kwadratu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wzory na obliczanie pola równoległoboku i rombu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wzór na obliczanie pola trójkąta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wzór na obliczanie pola trapezu (K)</w:t>
              <w:tab/>
              <w:t>rozumie pojęcie miary pola jako liczby kwadratów jednostkowych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zależność doboru wzoru na obliczanie pola rombu od danych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prostokąta i kwadratu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bok prostokąta, znając jego pole i długość drugiego boku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równoległoboku o danej wysokości i podstawie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rombu o danych przekątnych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narysowanego równoległoboku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trójkąta o danej wysokości i podstawie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narysowanego trójkąta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trapezu, mając dane długości podstaw i wysokość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narysowanego trapezu (K-R)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dostateczną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(3)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zasadę zamiany jednostek pola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wyprowadzenie wzoru na obliczanie pola równoległoboku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wyprowadzenie wzoru na obliczanie pola trójkąta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wyprowadzenie wzoru na obliczanie pola trapezu (P)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kwadratu o danym obwodzie i odwrotnie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prostokąt o danym polu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polem prostokąta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zamienić jednostki pola (P-D)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równoległobok o danym polu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długość podstawy równoległoboku, znając jego pole i wysokość opuszczoną na tę podstawę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wysokość równoległoboku, znając jego pole i długość podstawy, na którą opuszczona jest ta wysokość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polem równoległoboku i rombu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polem trójkąta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polem trapezu (P-R)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(4)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wysokości trójkąta, znając długość podstawy, na którą opuszczona jest ta wysokość i pole trójkąta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figury jako sumę lub różnicę pól prostokątów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narysować równoległobok o polu równym polu danego czworokąta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długość przekątnej rombu, znając jego pole i długość drugiej przekątnej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podzielić trójkąt na części o równych polach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figury jako sumę lub różnicę pól trójkątów i czworokątów (R-W)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figury jako sumę lub różnicę pól znanych wielokątów (R-W)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bardzo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(5)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polem prostokąta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podzielić trapez na części o równych polach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Style w:val="Tabela-Siatka"/>
        <w:tblW w:w="1082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0"/>
      </w:tblGrid>
      <w:tr>
        <w:trPr/>
        <w:tc>
          <w:tcPr>
            <w:tcW w:w="10820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sz w:val="22"/>
                <w:szCs w:val="22"/>
                <w:highlight w:val="none"/>
                <w:shd w:fill="auto" w:val="clear"/>
                <w:lang w:val="pl-PL" w:bidi="ar-SA"/>
              </w:rPr>
            </w:pPr>
            <w:r>
              <w:rPr>
                <w:rFonts w:cs="Calibri" w:cstheme="minorHAnsi"/>
                <w:b/>
                <w:color w:themeColor="background1" w:val="FFFFFF"/>
                <w:sz w:val="20"/>
                <w:szCs w:val="20"/>
                <w:shd w:fill="auto" w:val="clear"/>
                <w:lang w:val="pl-PL" w:bidi="ar-SA"/>
              </w:rPr>
              <w:t>PROCENTY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na ocenę dopuszczającą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(2)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procentu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algorytm zamiany ułamków na procenty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diagramu (K)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potrzebę stosowania procentów w życiu codziennym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korzyści płynące z umiejętności stosowania kalkulatora do obliczeń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pojęcie procentu liczby jako jej części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 w procentach, jaką część figury zacieniowano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zamienić procent na ułamek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opisywać w procentach części skończonych zbiorów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zamienić ułamek na procent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odczytać dane z diagramu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odpowiedzieć na pytanie dotyczące znalezionych danych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przedstawić dane w postaci diagramu słupkowego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procent liczby naturalnej (K-P)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dostateczną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(3)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zna algorytm obliczania ułamka liczby (P)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zasady zaokrąglania liczb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równoważność wyrażania części liczby ułamkiem lub procentem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potrzebę stosowania różnych diagramów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wyrazić informacje podane za pomocą procentów w ułamkach i odwrotnie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dwie liczby, z których jedna jest zapisana w postaci procentu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procentami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określić, jakim procentem jednej liczby jest druga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określeniem, jakim procentem jednej liczby jest druga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wykorzystać dane z diagramów do obliczania procentu liczby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obliczaniem procentu danej liczby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liczbę większą o dany procent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liczbę mniejszą o dany procent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podwyżkami i obniżkami o dany procent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liczbę na podstawie danego jej procentu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zaokrąglić ułamek dziesiętny i wyrazić go w procentach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określić, jakim procentem jednej liczby jest druga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określeniem, jakim procentem jednej liczby jest druga (P-R)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(4)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obliczaniem liczby na podstawie danego jej procentu (R)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bardzo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(5)</w:t>
            </w:r>
          </w:p>
        </w:tc>
      </w:tr>
      <w:tr>
        <w:trPr/>
        <w:tc>
          <w:tcPr>
            <w:tcW w:w="10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ułamkami i procentami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określeniem, jakim procentem jednej liczby jest druga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dane z dwóch diagramów i odpowiedzieć na pytania dotyczące znalezionych danych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obliczaniem procentu danej liczby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podwyżkami i obniżkami       o dany procent (D-W))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obliczaniem liczby na podstawie danego jej procentu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określeniem, jakim procentem jednej liczby jest druga (D-W)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Style w:val="Tabela-Siatka"/>
        <w:tblW w:w="1076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0"/>
      </w:tblGrid>
      <w:tr>
        <w:trPr/>
        <w:tc>
          <w:tcPr>
            <w:tcW w:w="10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LICZBY DODATNIE I LICZBY UJEMNE</w:t>
            </w:r>
          </w:p>
        </w:tc>
      </w:tr>
      <w:tr>
        <w:trPr/>
        <w:tc>
          <w:tcPr>
            <w:tcW w:w="10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na ocenę dopuszczającą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(2)</w:t>
            </w:r>
          </w:p>
        </w:tc>
      </w:tr>
      <w:tr>
        <w:trPr/>
        <w:tc>
          <w:tcPr>
            <w:tcW w:w="10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liczby ujemnej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liczb przeciwnych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zasadę dodawania liczb o jednakowych znakach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zasadę dodawania liczb o różnych znakach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zasadę ustalania znaku iloczynu i ilorazu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rozszerzenie osi liczbowej na liczby ujemne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zasadę dodawania liczb o jednakowych znakach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zasadę dodawania liczb o różnych znakach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zaznaczyć i odczytać liczbę ujemną na osi liczbowej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wymienić kilka liczb większych lub mniejszych od danej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porównać liczby wymierne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zaznaczyć liczby przeciwne na osi liczbowej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sumę i różnicę liczb całkowitych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powiększyć lub pomniejszyć liczbę całkowitą o daną liczbę (K-R)</w:t>
            </w:r>
          </w:p>
        </w:tc>
      </w:tr>
      <w:tr>
        <w:trPr/>
        <w:tc>
          <w:tcPr>
            <w:tcW w:w="10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dostateczną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(3)</w:t>
            </w:r>
          </w:p>
        </w:tc>
      </w:tr>
      <w:tr>
        <w:trPr/>
        <w:tc>
          <w:tcPr>
            <w:tcW w:w="10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wartości bezwzględnej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zasadę zastępowania odejmowania dodawaniem liczby przeciwnej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zasadę zastępowania odejmowania dodawaniem liczby przeciwnej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porządkować liczby wymierne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bezwzględną liczby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sumę i różnicę liczb wymiernych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korzystać z przemienności i łączności dodawania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uzupełnić brakujące składniki, odjemną lub odjemnik w działaniu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kwadrat i sześcian liczb całkowitych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ustalić znak iloczynu i ilorazu kilku liczb wymiernych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wyrażenia arytmetycznego zawierającego 4 działania na liczbach całkowitych (P-R)</w:t>
            </w:r>
          </w:p>
        </w:tc>
      </w:tr>
      <w:tr>
        <w:trPr/>
        <w:tc>
          <w:tcPr>
            <w:tcW w:w="10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(4)</w:t>
            </w:r>
          </w:p>
        </w:tc>
      </w:tr>
      <w:tr>
        <w:trPr/>
        <w:tc>
          <w:tcPr>
            <w:tcW w:w="10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podać, ile liczb spełnia podany warunek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sumę wieloskładnikową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ustalić znak wyrażenia arytmetycznego zawierającego kilka liczb wymiernych (R)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dodawaniem i odejmowaniem liczb wymiernych (R-W)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potęgę liczby wymiernej (R)</w:t>
            </w:r>
          </w:p>
        </w:tc>
      </w:tr>
      <w:tr>
        <w:trPr/>
        <w:tc>
          <w:tcPr>
            <w:tcW w:w="10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bardzo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(5)</w:t>
            </w:r>
          </w:p>
        </w:tc>
      </w:tr>
      <w:tr>
        <w:trPr/>
        <w:tc>
          <w:tcPr>
            <w:tcW w:w="107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związane z liczbami dodatnimi i ujemnymi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mnożeniem i dzieleniem liczb całkowitych (D-W)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Style w:val="Tabela-Siatka"/>
        <w:tblW w:w="1064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0"/>
      </w:tblGrid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WYRAŻENIA ALGEBRAICZNE I RÓWNANIA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na ocenę dopuszczającą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(2)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zasady tworzenia wyrażeń algebraicznych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pojęcia: suma, różnica, iloczyn, iloraz, kwadrat nieznanych wielkości liczbowych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wartości liczbowej wyrażenia algebraicznego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równania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rozwiązania równania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liczby spełniającej równanie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w postaci wyrażenia algebraicznego informacje osadzone w kontekście praktycznym z zadaną niewiadomą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liczbową wyrażenia bez jego przekształcenia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w postaci równania informacje osadzone w kontekście praktycznym z zadaną niewiadomą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zadanie w postaci równania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odgadnąć rozwiązanie równania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podać rozwiązanie prostego równania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sprawdzić, czy liczba spełnia równanie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proste równanie przez dopełnienie lub wykonanie działania odwrotnego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sprawdzić poprawność rozwiązania równania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sprawdzić poprawność rozwiązania zadania (K-P)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dostateczną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(3)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zasady krótszego zapisu wyrażeń algebraicznych będących sumą lub różnicą jednomianów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zasady krótszego zapisu wyrażeń algebraicznych będących iloczynem lub ilorazem jednomianu i liczby wymiernej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potrzebę tworzenia wyrażeń algebraicznych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stosować oznaczenia literowe nieznanych wielkości liczbowych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zbudować wyrażenie algebraiczne na podstawie opisu lub rysunku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krócej wyrażenia algebraiczne będące sumą lub różnicą jednomianów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krócej wyrażenia algebraiczne będące iloczynem lub ilorazem jednomianu i liczby wymiernej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wartość liczbową wyrażenia po jego przekształceniu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doprowadzić równanie do prostszej postaci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zadanie tekstowe za pomocą równania i rozwiązać je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wyrazić treść zadania za pomocą równania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za pomocą równania (P-R)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(4)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metodę równań równoważnych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metodę równań równoważnych (R)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obliczaniem wartości wyrażeń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prostymi przekształceniami algebraicznymi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równanie z przekształcaniem wyrażeń (R-D)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podać przykład wyrażenia algebraicznego przyjmującego określoną wartość dla danych wartości występujących w nim niewiadomych (R-W)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przyporządkować równanie do podanego zdania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uzupełnić równanie tak, aby spełniała je podana liczba (R)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 xml:space="preserve">Wymagania  na ocenę bardzo dobrą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l-PL" w:eastAsia="en-US" w:bidi="ar-SA"/>
              </w:rPr>
              <w:t>(5)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zbudować wyrażenie algebraiczne (D)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budowaniem wyrażeń algebraicznych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obliczaniem wartości wyrażeń algebraicznych (D)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prostymi przekształceniami algebraicznymi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zadanie w postaci równania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równanie, które nie ma rozwiązania (D)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zadanie tekstowe za pomocą równania i odgadnąć jego rozwiązanie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zapisać zadanie tekstowe za pomocą równania i rozwiązać to równanie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za pomocą równania (D-W)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Style w:val="Tabela-Siatka"/>
        <w:tblW w:w="1064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0"/>
      </w:tblGrid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FIGURY PRZESTRZENNE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Wymagania na ocenę dopuszczającą 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(2)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pojęcia: graniastosłup, ostrosłup, walec, stożek, kula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pojęcia charakteryzujące graniastosłup, ostrosłup, walec, stożek, kulę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cechy prostopadłościanu i sześcianu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siatki bryły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wzór i rozumie sposób obliczania pola powierzchni prostopadłościanu i sześcianu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cechy charakteryzujące graniastosłup prosty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nazwy graniastosłupów prostych     w zależności od podstawy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siatki graniastosłupa prostego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objętości figury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jednostki objętości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wzór na obliczanie objętości prostopadłościanu i sześcianu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ostrosłupa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nazwy ostrosłupów w zależności od podstawy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cechy budowy ostrosłupa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siatki ostrosłupa (K)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sposób obliczania pola powierzchni graniastosłupa prostego jako pole jego siatki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 pojęcie miary objętości jako liczby sześcianów jednostkowych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graniastosłup, ostrosłup, walec, stożek, kulę wśród innych brył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na modelach wielkości charakteryzujące bryłę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w prostopadłościanie ściany i krawędzie prostopadłe lub równoległe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w prostopadłościanie krawędzie o jednakowej długości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sumę długości krawędzi prostopadłościanu i sześcianu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na rysunku siatkę sześcianu i prostopadłościanu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rysować siatkę prostopadłościanu i sześcianu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powierzchni sześcianu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pole powierzchni prostopadłościanu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graniastosłup prosty wśród innych brył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w graniastosłupie krawędzie o jednakowej długości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rysować siatkę graniastosłupa prostego (K-R)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podać objętość bryły na podstawie liczby sześcianów jednostkowych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objętość sześcianu o danej krawędzi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objętość prostopadłościanu o danych krawędziach (K-P)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objętość graniastosłupa prostego, którego dane są pole podstawy i wysokość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ostrosłup wśród innych brył (K)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siatkę ostrosłupa (K-D)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Wymagania  na ocenę dostateczną 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(3)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wzór na obliczanie pola powierzchni graniastosłupa prostego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zależności pomiędzy jednostkami objętości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wzór na obliczanie objętości graniastosłupa prostego (P)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różnicę między polem powierzchni a objętością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zasadę zamiany jednostek objętości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sposób obliczania pola powierzchni jako pola siatki (P)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 rodzaj bryły na podstawie jej rzutu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nawiązujące do elementów budowy danej bryły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 liczbę ścian, wierzchołków, krawędzi danego graniastosłupa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w graniastosłupie ściany i krawędzie prostopadłe lub równoległe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objętość graniastosłupa prostego, którego dane są elementy podstawy i wysokość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zamienić jednostki objętości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wyrażać w różnych jednostkach tę samą objętość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objętością graniastosłupa (P-R)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 liczbę poszczególnych ścian, wierzchołków, krawędzi ostrosłupa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obliczyć sumę długości krawędzi ostrosłupa (P)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związane z ostrosłupem (P-R)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Wymagania  na ocenę dobrą 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(4)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pojęcie czworościanu foremnego (R)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określić cechy bryły powstałej ze sklejenia kilku znanych brył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umie rozwiązać zadanie tekstowe dotyczące długości krawędzi prostopadłościanu i  sześcianu (R-D)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zadanie tekstowe dotyczące pola powierzchni prostopadłościanu złożonego z kilku sześcianów (R-D)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rozumie, że podstawą graniastosłupa prostego nie zawsze jest ten wielokąt, który leży na poziomej płaszczyźnie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projektować siatki graniastosłupów w skali (R – 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obliczać pole powierzchni prostopadłościanu o wymiarach wyrażonych w różnych jednostkach (R)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rozwiązywać zadania tekstowe z zastosowaniem pól powierzchni graniastosłupów prostych (R-W)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zależności pomiędzy jednostkami objętości (R – D)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zna i rozumie związek pomiędzy jednostkami długości a jednostkami objętości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obliczać objętość i pole powierzchni prostopadłościanu zbudowanego z określonej liczby sześcianów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rozwiązywać zadania tekstowe związane z objętościami prostopadłościanów (R)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rozwiązywać zadania tekstowe związane z objętościami brył wyrażonymi w litrach lub mililitrach (R – 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zamieniać jednostki objętości (R – D)</w:t>
            </w:r>
          </w:p>
          <w:p>
            <w:pPr>
              <w:pStyle w:val="Normal"/>
              <w:widowControl/>
              <w:tabs>
                <w:tab w:val="clear" w:pos="708"/>
                <w:tab w:val="left" w:pos="736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obliczać objętości graniastosłupów prostych o podanych siatkach (R – D)</w:t>
              <w:tab/>
            </w:r>
          </w:p>
          <w:p>
            <w:pPr>
              <w:pStyle w:val="Normal"/>
              <w:widowControl/>
              <w:tabs>
                <w:tab w:val="clear" w:pos="708"/>
                <w:tab w:val="left" w:pos="7363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nawiązujące do elementów budowy danej bryły (R-W)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Wymagania  na ocenę bardzo dobrą 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(5)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objętością graniastosłupa prostego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ostrosłupem (D-W)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rozwiązywać zadania z treścią dotyczące ścian sześcianu (D – 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określać cechy graniastosłupa znajdującego się na rysunku (D)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obliczać pola powierzchni graniastosłupów złożonych z sześcianów (D)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stosować zamianę jednostek objętości w zadaniach tekstowych (D – 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związane z objętością graniastosłupa prostego (D-W)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 xml:space="preserve">Wymagania  na ocenę celującą </w:t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(6)</w:t>
            </w:r>
          </w:p>
        </w:tc>
      </w:tr>
      <w:tr>
        <w:trPr/>
        <w:tc>
          <w:tcPr>
            <w:tcW w:w="10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rozwiązać nietypowe zadanie tekstowe dotyczące prostopadłościanu i sześcianu (W)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oceniać możliwość zbudowania z prostopadłościanów zadanego graniastosłupa (W)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wskazać w graniastosłupie ściany i krawędzie prostopadłe lub równoległe (R-W)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umie rozpoznawać siatki graniastosłupów (W)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  <w:color w:val="000000"/>
          <w:sz w:val="18"/>
          <w:szCs w:val="18"/>
        </w:rPr>
        <w:t>I półrocze działy: I, II, III, IV</w:t>
      </w:r>
    </w:p>
    <w:p>
      <w:pPr>
        <w:pStyle w:val="Normal"/>
        <w:spacing w:before="0" w:after="160"/>
        <w:rPr>
          <w:rFonts w:ascii="Calibri" w:hAnsi="Calibri" w:cs="Calibri" w:cstheme="minorHAnsi"/>
          <w:highlight w:val="none"/>
          <w:shd w:fill="auto" w:val="clear"/>
        </w:rPr>
      </w:pPr>
      <w:r>
        <w:rPr>
          <w:rFonts w:cs="Calibri" w:cstheme="minorHAnsi" w:ascii="Calibri" w:hAnsi="Calibri"/>
          <w:color w:val="000000"/>
          <w:sz w:val="18"/>
          <w:szCs w:val="18"/>
          <w:shd w:fill="auto" w:val="clear"/>
        </w:rPr>
        <w:t>II półrocze działy V, VI, VII, VIII</w:t>
      </w:r>
    </w:p>
    <w:sectPr>
      <w:type w:val="nextPage"/>
      <w:pgSz w:w="11906" w:h="16838"/>
      <w:pgMar w:left="463" w:right="401" w:gutter="0" w:header="0" w:top="488" w:footer="0" w:bottom="43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d14d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247b23"/>
    <w:rPr/>
  </w:style>
  <w:style w:type="character" w:styleId="StopkaZnak" w:customStyle="1">
    <w:name w:val="Stopka Znak"/>
    <w:basedOn w:val="DefaultParagraphFont"/>
    <w:uiPriority w:val="99"/>
    <w:qFormat/>
    <w:rsid w:val="00247b23"/>
    <w:rPr/>
  </w:style>
  <w:style w:type="character" w:styleId="Domylnaczcionkaakapitu">
    <w:name w:val="Domyślna czcionka akapitu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0">
    <w:name w:val="WW8Num20z0"/>
    <w:qFormat/>
    <w:rPr>
      <w:b w:val="false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/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1z0">
    <w:name w:val="WW8Num11z0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Standard" w:customStyle="1">
    <w:name w:val="Standard"/>
    <w:qFormat/>
    <w:rsid w:val="001f553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eastAsia="zh-CN" w:val="pl-PL" w:bidi="ar-SA"/>
    </w:rPr>
  </w:style>
  <w:style w:type="paragraph" w:styleId="NoSpacing">
    <w:name w:val="No Spacing"/>
    <w:qFormat/>
    <w:rsid w:val="001f553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14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nhideWhenUsed/>
    <w:rsid w:val="00247b2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nhideWhenUsed/>
    <w:rsid w:val="00247b2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b6b48"/>
    <w:pPr>
      <w:spacing w:lineRule="auto" w:line="240" w:before="0" w:after="0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dymka">
    <w:name w:val="Tekst dymka"/>
    <w:basedOn w:val="Normal"/>
    <w:qFormat/>
    <w:pPr/>
    <w:rPr>
      <w:rFonts w:ascii="Segoe UI" w:hAnsi="Segoe UI" w:cs="Segoe UI"/>
      <w:color w:val="000000"/>
      <w:sz w:val="18"/>
      <w:szCs w:val="18"/>
    </w:rPr>
  </w:style>
  <w:style w:type="paragraph" w:styleId="Akapitzlist">
    <w:name w:val="Akapit z listą"/>
    <w:basedOn w:val="Normal"/>
    <w:qFormat/>
    <w:pPr>
      <w:widowControl w:val="false"/>
      <w:spacing w:lineRule="auto" w:line="300" w:before="0" w:after="0"/>
      <w:ind w:hanging="340" w:left="720"/>
      <w:contextualSpacing/>
    </w:pPr>
    <w:rPr>
      <w:rFonts w:eastAsia="Times New Roman"/>
      <w:color w:val="000000"/>
      <w:sz w:val="22"/>
      <w:szCs w:val="22"/>
    </w:rPr>
  </w:style>
  <w:style w:type="paragraph" w:styleId="Bezodstpw">
    <w:name w:val="Bez odstępów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LibreOffice/7.6.0.3$Windows_X86_64 LibreOffice_project/69edd8b8ebc41d00b4de3915dc82f8f0fc3b6265</Application>
  <AppVersion>15.0000</AppVersion>
  <Pages>10</Pages>
  <Words>4505</Words>
  <Characters>28375</Characters>
  <CharactersWithSpaces>32464</CharactersWithSpaces>
  <Paragraphs>535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dc:description/>
  <dc:language>pl-PL</dc:language>
  <cp:lastModifiedBy/>
  <dcterms:modified xsi:type="dcterms:W3CDTF">2023-09-23T17:31:25Z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