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</w:rPr>
      </w:pPr>
      <w:r>
        <w:rPr>
          <w:b/>
          <w:sz w:val="24"/>
        </w:rPr>
        <w:t>Wymagania edukacyjne na poszczególne oceny. Planeta Nowa 6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oparte na Programie nauczania geografii w szkole podstawowej – Planeta Nowa autorstwa Ewy Marii Tuz i Barbary Dziedzic</w:t>
      </w:r>
    </w:p>
    <w:p>
      <w:pPr>
        <w:pStyle w:val="Normal"/>
        <w:ind w:right="119" w:hanging="0"/>
        <w:rPr>
          <w:rFonts w:ascii="Calibri" w:hAnsi="Calibri" w:cs="Calibri"/>
          <w:b/>
          <w:b/>
          <w:bCs/>
          <w:color w:val="231F20"/>
          <w:sz w:val="24"/>
          <w:szCs w:val="24"/>
          <w:shd w:fill="FFFFFF" w:val="clear"/>
        </w:rPr>
      </w:pPr>
      <w:r>
        <w:rPr>
          <w:rFonts w:cs="Calibri" w:ascii="Calibri" w:hAnsi="Calibri"/>
          <w:b/>
          <w:bCs/>
          <w:color w:val="231F20"/>
          <w:sz w:val="24"/>
          <w:szCs w:val="24"/>
          <w:shd w:fill="FFFFFF" w:val="clear"/>
        </w:rPr>
        <w:t>I półrocze 2023/2024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ela-Siatka"/>
        <w:tblW w:w="150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01"/>
        <w:gridCol w:w="3005"/>
        <w:gridCol w:w="3003"/>
        <w:gridCol w:w="3003"/>
        <w:gridCol w:w="3003"/>
      </w:tblGrid>
      <w:tr>
        <w:trPr>
          <w:trHeight w:val="397" w:hRule="atLeast"/>
        </w:trPr>
        <w:tc>
          <w:tcPr>
            <w:tcW w:w="15015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13" w:right="-57" w:hanging="113"/>
              <w:jc w:val="center"/>
              <w:rPr>
                <w:rFonts w:cs="Calibri" w:cstheme="minorHAnsi"/>
                <w:sz w:val="18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18"/>
                <w:szCs w:val="17"/>
                <w:lang w:val="pl-PL" w:eastAsia="en-US" w:bidi="ar-SA"/>
              </w:rPr>
              <w:t>Wymagani</w:t>
            </w:r>
            <w:bookmarkStart w:id="0" w:name="_GoBack"/>
            <w:bookmarkEnd w:id="0"/>
            <w:r>
              <w:rPr>
                <w:rFonts w:eastAsia="Calibri" w:cs="Calibri" w:cstheme="minorHAnsi"/>
                <w:b/>
                <w:bCs/>
                <w:kern w:val="0"/>
                <w:sz w:val="18"/>
                <w:szCs w:val="17"/>
                <w:lang w:val="pl-PL" w:eastAsia="en-US" w:bidi="ar-SA"/>
              </w:rPr>
              <w:t>a na poszczególne oceny</w:t>
            </w:r>
          </w:p>
        </w:tc>
      </w:tr>
      <w:tr>
        <w:trPr>
          <w:trHeight w:val="340" w:hRule="atLeast"/>
        </w:trPr>
        <w:tc>
          <w:tcPr>
            <w:tcW w:w="300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13" w:right="-57" w:hanging="113"/>
              <w:jc w:val="center"/>
              <w:rPr>
                <w:rFonts w:cs="Calibri" w:cstheme="minorHAnsi"/>
                <w:sz w:val="18"/>
              </w:rPr>
            </w:pPr>
            <w:r>
              <w:rPr>
                <w:rFonts w:eastAsia="Calibri" w:cs="Calibri"/>
                <w:b/>
                <w:bCs/>
                <w:kern w:val="0"/>
                <w:sz w:val="18"/>
                <w:szCs w:val="18"/>
                <w:lang w:val="pl-PL" w:eastAsia="en-US" w:bidi="ar-SA"/>
              </w:rPr>
              <w:t>na ocenę</w:t>
            </w:r>
            <w:r>
              <w:rPr>
                <w:rFonts w:eastAsia="Calibri" w:cs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 dopuszczającą</w:t>
            </w:r>
          </w:p>
        </w:tc>
        <w:tc>
          <w:tcPr>
            <w:tcW w:w="30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13" w:right="-57" w:hanging="113"/>
              <w:jc w:val="center"/>
              <w:rPr>
                <w:rFonts w:cs="Calibri" w:cstheme="minorHAnsi"/>
                <w:sz w:val="18"/>
              </w:rPr>
            </w:pPr>
            <w:r>
              <w:rPr>
                <w:rFonts w:eastAsia="Calibri" w:cs="Calibri"/>
                <w:b/>
                <w:bCs/>
                <w:kern w:val="0"/>
                <w:sz w:val="18"/>
                <w:szCs w:val="18"/>
                <w:lang w:val="pl-PL" w:eastAsia="en-US" w:bidi="ar-SA"/>
              </w:rPr>
              <w:t>na ocenę</w:t>
            </w:r>
            <w:r>
              <w:rPr>
                <w:rFonts w:eastAsia="Calibri" w:cs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 dostateczną</w:t>
            </w:r>
          </w:p>
        </w:tc>
        <w:tc>
          <w:tcPr>
            <w:tcW w:w="300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13" w:right="-57" w:hanging="113"/>
              <w:jc w:val="center"/>
              <w:rPr>
                <w:rFonts w:cs="Calibri" w:cstheme="minorHAnsi"/>
                <w:sz w:val="18"/>
              </w:rPr>
            </w:pPr>
            <w:r>
              <w:rPr>
                <w:rFonts w:eastAsia="Calibri" w:cs="Calibri"/>
                <w:b/>
                <w:bCs/>
                <w:kern w:val="0"/>
                <w:sz w:val="18"/>
                <w:szCs w:val="18"/>
                <w:lang w:val="pl-PL" w:eastAsia="en-US" w:bidi="ar-SA"/>
              </w:rPr>
              <w:t>na ocenę</w:t>
            </w:r>
            <w:r>
              <w:rPr>
                <w:rFonts w:eastAsia="Calibri" w:cs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 dobrą</w:t>
            </w:r>
          </w:p>
        </w:tc>
        <w:tc>
          <w:tcPr>
            <w:tcW w:w="300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13" w:right="-57" w:hanging="113"/>
              <w:jc w:val="center"/>
              <w:rPr>
                <w:rFonts w:cs="Calibri" w:cstheme="minorHAnsi"/>
                <w:sz w:val="18"/>
              </w:rPr>
            </w:pPr>
            <w:r>
              <w:rPr>
                <w:rFonts w:eastAsia="Calibri" w:cs="Calibri"/>
                <w:b/>
                <w:bCs/>
                <w:kern w:val="0"/>
                <w:sz w:val="18"/>
                <w:szCs w:val="18"/>
                <w:lang w:val="pl-PL" w:eastAsia="en-US" w:bidi="ar-SA"/>
              </w:rPr>
              <w:t>na ocenę</w:t>
            </w:r>
            <w:r>
              <w:rPr>
                <w:rFonts w:eastAsia="Calibri" w:cs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 bardzo dobrą</w:t>
            </w:r>
          </w:p>
        </w:tc>
        <w:tc>
          <w:tcPr>
            <w:tcW w:w="300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13" w:right="-57" w:hanging="113"/>
              <w:jc w:val="center"/>
              <w:rPr>
                <w:rFonts w:cs="Calibri" w:cstheme="minorHAnsi"/>
                <w:sz w:val="18"/>
              </w:rPr>
            </w:pPr>
            <w:r>
              <w:rPr>
                <w:rFonts w:eastAsia="Calibri" w:cs="Calibri"/>
                <w:b/>
                <w:bCs/>
                <w:kern w:val="0"/>
                <w:sz w:val="18"/>
                <w:szCs w:val="18"/>
                <w:lang w:val="pl-PL" w:eastAsia="en-US" w:bidi="ar-SA"/>
              </w:rPr>
              <w:t>na ocenę</w:t>
            </w:r>
            <w:r>
              <w:rPr>
                <w:rFonts w:eastAsia="Calibri" w:cs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 celującą</w:t>
            </w:r>
          </w:p>
        </w:tc>
      </w:tr>
      <w:tr>
        <w:trPr>
          <w:trHeight w:val="340" w:hRule="atLeast"/>
        </w:trPr>
        <w:tc>
          <w:tcPr>
            <w:tcW w:w="3001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13" w:right="-57" w:hanging="113"/>
              <w:jc w:val="center"/>
              <w:rPr>
                <w:rFonts w:cs="Calibri" w:cstheme="minorHAnsi"/>
                <w:sz w:val="18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18"/>
                <w:szCs w:val="17"/>
                <w:lang w:val="pl-PL" w:eastAsia="en-US" w:bidi="ar-SA"/>
              </w:rPr>
              <w:t>2</w:t>
            </w:r>
          </w:p>
        </w:tc>
        <w:tc>
          <w:tcPr>
            <w:tcW w:w="3005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13" w:right="-57" w:hanging="113"/>
              <w:jc w:val="center"/>
              <w:rPr>
                <w:rFonts w:cs="Calibri" w:cstheme="minorHAnsi"/>
                <w:sz w:val="18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18"/>
                <w:szCs w:val="17"/>
                <w:lang w:val="pl-PL" w:eastAsia="en-US" w:bidi="ar-SA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13" w:right="-57" w:hanging="113"/>
              <w:jc w:val="center"/>
              <w:rPr>
                <w:rFonts w:cs="Calibri" w:cstheme="minorHAnsi"/>
                <w:sz w:val="18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18"/>
                <w:szCs w:val="17"/>
                <w:lang w:val="pl-PL" w:eastAsia="en-US" w:bidi="ar-SA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13" w:right="-57" w:hanging="113"/>
              <w:jc w:val="center"/>
              <w:rPr>
                <w:rFonts w:cs="Calibri" w:cstheme="minorHAnsi"/>
                <w:sz w:val="18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18"/>
                <w:szCs w:val="17"/>
                <w:lang w:val="pl-PL" w:eastAsia="en-US" w:bidi="ar-SA"/>
              </w:rPr>
              <w:t>5</w:t>
            </w:r>
          </w:p>
        </w:tc>
        <w:tc>
          <w:tcPr>
            <w:tcW w:w="300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13" w:right="-57" w:hanging="113"/>
              <w:jc w:val="center"/>
              <w:rPr>
                <w:rFonts w:cs="Calibri" w:cstheme="minorHAnsi"/>
                <w:sz w:val="18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18"/>
                <w:szCs w:val="17"/>
                <w:lang w:val="pl-PL" w:eastAsia="en-US" w:bidi="ar-SA"/>
              </w:rPr>
              <w:t>6</w:t>
            </w:r>
          </w:p>
        </w:tc>
      </w:tr>
      <w:tr>
        <w:trPr>
          <w:trHeight w:val="340" w:hRule="atLeast"/>
        </w:trPr>
        <w:tc>
          <w:tcPr>
            <w:tcW w:w="15015" w:type="dxa"/>
            <w:gridSpan w:val="5"/>
            <w:tcBorders>
              <w:top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72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1. Współrzędne geograficzne</w:t>
            </w:r>
          </w:p>
        </w:tc>
      </w:tr>
      <w:tr>
        <w:trPr/>
        <w:tc>
          <w:tcPr>
            <w:tcW w:w="3001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wskazuje na mapie lub na globusie równik, południki 0° i 180° oraz półkule: południową, północną, wschodnią i zachodnią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podaje symbole oznaczające kierunki geograficzne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wyjaśnia, do czego służą współrzędne geograficzne</w:t>
            </w:r>
          </w:p>
        </w:tc>
        <w:tc>
          <w:tcPr>
            <w:tcW w:w="3005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cechy południków i równoleżników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podaje wartości południków i równoleżników w miarach kątowych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wyjaśnia znaczenie terminów: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długość geograficzna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szerokość geograficzna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wyjaśnia znaczenie terminów: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rozciągłość południkowa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rozciągłość równoleżnikowa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odczytuje szerokość geograficzną i długość geograficzną wybranych punktów na globusie i mapie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odszukuje obiekty na mapie na podstawie podanych współrzędnych geograficznych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określa położenie matematycznogeograficzne punktów i obszarów na mapie świata i mapie Europy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wyznacza współrzędne geograficzne na podstawie mapy drogowej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oblicza rozciągłość południkową i rozciągłość równoleżnikową wybranych obszarów na Ziemi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wyznacza współrzędne geograficzne punktu, w którym się znajduje, za pomocą aplikacji obsługującej mapy w smartfonie  lub komputerze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wyznacza w terenie współrzędne geograficzne dowolnych punktów za pomocą mapy i odbiornika GPS</w:t>
            </w:r>
          </w:p>
        </w:tc>
      </w:tr>
      <w:tr>
        <w:trPr>
          <w:trHeight w:val="340" w:hRule="atLeast"/>
        </w:trPr>
        <w:tc>
          <w:tcPr>
            <w:tcW w:w="15015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72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2. Ruchy Ziemi</w:t>
            </w:r>
          </w:p>
        </w:tc>
      </w:tr>
      <w:tr>
        <w:trPr/>
        <w:tc>
          <w:tcPr>
            <w:tcW w:w="3001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rodzaje ciał niebieskich znajdujących się w Układzie Słonecznym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wymienia planety Układu Słonecznego w kolejności od znajdującej się najbliżej Słońca do tej, która jest położona najdalej 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wyjaśnia, na czym polega ruch obrotowy Ziemi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wyjaśnia znaczenie terminu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górowanie Słońca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określa czas trwania ruchu obrotowego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demonstruje ruch obrotowy Ziemi przy użyciu modeli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wyjaśnia, na czym polega ruch obiegowy Ziemi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demonstruje ruch obiegowy Ziemi przy użyciu modeli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daty rozpoczęcia astronomicznych pór roku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wskazuje na globusie i mapie strefy oświetlenia Ziemi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05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wyjaśnia znaczenie terminów: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gwiazda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planeta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planetoida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meteor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meteoryt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kometa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podaje różnicę między gwiazdą a planetą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cechy ruchu obrotowego Ziemi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występowanie dnia i nocy jako głównego następstwo ruchu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obrotowego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podaje cechy ruchu obiegowego Ziemi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strefy oświetlenia Ziemi i wskazuje ich granice na mapie lub globusie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rozpoznaje rodzaje ciał niebieskich przedstawionych na ilustracji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opisuje dzienną wędrówkę Słońca po niebie, posługując się ilustracją lub planszą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wędrówkę Słońca po niebie w różnych porach roku na podstawie ilustracji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przebieg linii zmiany daty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przedstawia zmiany w oświetleniu Ziemi w pierwszych dniach astronomicznych pór roku na podstawie ilustracji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następstwa ruchu obiegowego Ziemi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wyjaśnia, na jakiej podstawie wyróżnia się strefy oświetlenia Ziemi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opisuje budowę Układu Słonecznego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 zależność między kątem padania promieni słonecznych a długością cienia gnomonu lub drzewa na podstawie ilustracji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określa różnicę między czasem strefowym a czasem słonecznym na kuli ziemskiej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 przyczyny występowania dnia polarnego i nocy polarnej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charakteryzuje strefy oświetlenia  Ziemi z uwzględnieniem kąta padania promieni słonecznych, czasu trwania dnia i nocy oraz występowania pór roku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 związek między ruchem obrotowym Ziemi a takimi zjawiskami jak pozorna wędrówka Słońca po niebie, górowanie Słońca, występowanie dnia i nocy, dobowy rytm życia człowieka i przyrody, występowanie stref czasowych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określa czas strefowy na podstawie mapy stref czasowych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wykazuje związek między położeniem geograficznym obszaru a wysokością górowania Słońca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wykazuje związek między ruchem obiegowym Ziemi a strefami jej oświetlenia oraz strefowym zróżnicowaniem klimatów i krajobrazów na Ziemi</w:t>
            </w:r>
          </w:p>
        </w:tc>
      </w:tr>
      <w:tr>
        <w:trPr>
          <w:trHeight w:val="340" w:hRule="atLeast"/>
        </w:trPr>
        <w:tc>
          <w:tcPr>
            <w:tcW w:w="15015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72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3. Środowisko przyrodnicze i ludność Europy</w:t>
            </w:r>
          </w:p>
        </w:tc>
      </w:tr>
      <w:tr>
        <w:trPr/>
        <w:tc>
          <w:tcPr>
            <w:tcW w:w="3001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określa położenie Europy na mapie świata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nazwy większych mórz, zatok, cieśnin i wysp Europy i wskazuje je na mapie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wskazuje przebieg umownej granicy między Europą a Azją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elementy krajobrazu Islandii na podstawie fotografii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strefy klimatyczne w Europie na podstawie mapy klimatycznej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wskazuje na mapie obszary w Europie o cechach klimatu morskiego i kontynentalnego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podaje liczbę państw Europy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wskazuje na mapie politycznej największe i najmniejsze państwa Europy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czynniki wpływające na rozmieszczenie ludności Europy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wyjaśnia znaczenie terminu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gęstość zaludnienia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wskazuje na mapie rozmieszczenia ludności obszary o dużej i małej gęstości zaludnienia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starzejące się kraje Europy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grupy ludów zamieszkujących Europę na podstawie mapy tematycznej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główne języki i religie występujące w Europie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wskazuje Paryż i Londyn na mapie Europy</w:t>
            </w:r>
          </w:p>
        </w:tc>
        <w:tc>
          <w:tcPr>
            <w:tcW w:w="3005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przebieg umownej granicy między Europą a Azją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czynniki decydujące o długości linii brzegowej Europy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największe krainy geograficzne Europy i wskazuje je na mapie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opisuje położenie geograficzne Islandii na podstawie mapy ogólnogeograficznej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i/>
                <w:i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wyjaśnia znaczenie terminów: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wulkan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magma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erupcja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lawa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bazalt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przedstawia kryterium wyróżniania stref klimatycznych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cechy wybranych typów i odmian klimatu Europy na podstawie klimatogramów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i wskazuje na mapie politycznej Europy państwa powstałe na przełomie lat 80. i 90. XX w.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rozmieszczenie ludności w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Europie na podstawie mapy rozmieszczenia ludności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przedstawia liczbę ludności Europy na tle liczby ludności pozostałych kontynentów na podstawie wykresów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charakteryzuje zróżnicowanie językowe ludności Europy na podstawie mapy tematycznej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przyczyny migracji Ludności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kraje imigracyjne i kraje emigracyjne w Europie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cechy krajobrazu wielkomiejskiego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i wskazuje na mapie największe miasta Europy i świata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porównuje miasta Europy z miastami świata na podstawie wykresów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opisuje ukształtowanie powierzchni Europy na podstawie mapy ogólnogeograficznej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opisuje położenie Islandii względem płyt litosfery na podstawie mapy geologicznej  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przykłady obszarów występowania trzęsień ziemi i wybuchów wulkanów na świecie na podstawie mapy geologicznej i mapy ogólnogeograficznej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czynniki wpływające na zróżnicowanie klimatyczne Europy na podstawie map klimatycznych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podaje różnice między strefami klimatycznymi, które znajdują się w Europie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charakteryzuje zmiany liczby ludności Europy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analizuje strukturę wieku i płci ludności na podstawie piramid wieku i płci ludności wybranych krajów Europy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przedstawia przyczyny zróżnicowania narodowościowego i językowego ludności w Europie 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zróżnicowanie kulturowe i religijne w Europie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przedstawia zalety i wady życia w wielkim mieście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położenie i układ przestrzenny Londynu i Paryża na podstawie map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porównuje ukształtowanie powierzchni wschodniej i zachodniej oraz północnej i południowej części Europy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 przyczyny występowania gejzerów na Islandii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strefy klimatyczne w Europie i charakterystyczną dla nich roślinność na podstawie klimatogramów i fotografii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wpływ prądów morskich na temperaturę powietrza w Europie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omawia wpływ ukształtowania powierzchni na klimat Europy 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porównuje piramidy wieku i płci społeczeństw: młodego </w:t>
              <w:br/>
              <w:t>i starzejącego się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przedstawia skutki zróżnicowania  kulturowego ludności Europy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przedstawia korzyści i zagrożenia związane z migracjami ludności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porównuje Paryż i Londyn pod względem ich znaczenia na świecie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 wpływ działalności lądolodu na ukształtowanie północnej części Europy na podstawie mapy i dodatkowych źródeł informacji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 wpływ położenia na granicy płyt litosfery na występowanie wulkanów i trzęsień ziemi na Islandii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wyjaśnia, dlaczego w Europie na tej samej szerokości geograficznej występują różne typy i odmiany klimatu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podaje zależności między strefami oświetlenia Ziemi a strefami klimatycznymi na podstawie ilustracji oraz map klimatycznych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przedstawia rolę Unii Europejskiej w przemianach społecznych i gospodarczych Europy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analizuje przyczyny i skutki starzenia się społeczeństw Europy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opisuje działania, które można podjąć, aby zmniejszyć tempo starzenia się społeczeństwa Europy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przyczyny nielegalnej imigracji do Europy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ocenia skutki migracji ludności między państwami Europy oraz imigracji ludności z innych kontynentów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ocenia rolę i funkcje Paryża i Londynu jako wielkich metropolii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907" w:right="907" w:gutter="0" w:header="0" w:top="907" w:footer="0" w:bottom="90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ind w:left="113" w:right="-57" w:hanging="113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a65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LibreOffice/7.2.0.4$Windows_X86_64 LibreOffice_project/9a9c6381e3f7a62afc1329bd359cc48accb6435b</Application>
  <AppVersion>15.0000</AppVersion>
  <Pages>3</Pages>
  <Words>1215</Words>
  <Characters>7449</Characters>
  <CharactersWithSpaces>8534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2019-08-28T08:08:00Z</dcterms:created>
  <dc:creator>Dorota Urbaniak</dc:creator>
  <dc:description/>
  <dc:language>pl-PL</dc:language>
  <cp:lastModifiedBy/>
  <dcterms:modified xsi:type="dcterms:W3CDTF">2023-09-26T21:53:59Z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