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4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>Wymagania edukacyjne z geografii dla klasy 7 szkoły podstawowej,</w:t>
        <w:br/>
        <w:t>oparte na Programie nauczania geografii w szkole podstawowej – Planeta Nowa autorstwa Ewy Marii Tuz i Barbary Dziedzic</w:t>
      </w:r>
    </w:p>
    <w:p>
      <w:pPr>
        <w:pStyle w:val="Normal"/>
        <w:ind w:right="119" w:hanging="0"/>
        <w:rPr>
          <w:sz w:val="18"/>
        </w:rPr>
      </w:pPr>
      <w:r>
        <w:rPr/>
      </w:r>
    </w:p>
    <w:p>
      <w:pPr>
        <w:pStyle w:val="Normal"/>
        <w:ind w:right="119" w:hanging="0"/>
        <w:rPr>
          <w:rFonts w:ascii="Calibri" w:hAnsi="Calibri"/>
        </w:rPr>
      </w:pPr>
      <w:r>
        <w:rPr>
          <w:rFonts w:cs="Calibri" w:ascii="Calibri" w:hAnsi="Calibri"/>
          <w:b/>
          <w:bCs/>
          <w:color w:val="231F20"/>
          <w:sz w:val="24"/>
          <w:szCs w:val="24"/>
          <w:shd w:fill="FFFFFF" w:val="clear"/>
        </w:rPr>
        <w:t xml:space="preserve">Uczniów obowiązują wymagania z I półrocza i II półrocza </w:t>
      </w:r>
      <w:r>
        <w:rPr>
          <w:rFonts w:cs="Calibri" w:ascii="Calibri" w:hAnsi="Calibri"/>
          <w:b/>
          <w:bCs/>
          <w:color w:val="231F20"/>
          <w:sz w:val="24"/>
          <w:szCs w:val="24"/>
          <w:shd w:fill="FFFFFF" w:val="clear"/>
        </w:rPr>
        <w:t>2023/2024</w:t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celującą</w:t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ojczyzna</w:t>
            </w:r>
            <w:bookmarkStart w:id="0" w:name="_GoBack"/>
            <w:bookmarkEnd w:id="0"/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Calibri">
    <w:charset w:val="01"/>
    <w:family w:val="swiss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LibreOffice/7.2.0.4$Windows_X86_64 LibreOffice_project/9a9c6381e3f7a62afc1329bd359cc48accb6435b</Application>
  <AppVersion>15.0000</AppVersion>
  <Pages>3</Pages>
  <Words>1555</Words>
  <Characters>10071</Characters>
  <CharactersWithSpaces>11478</CharactersWithSpaces>
  <Paragraphs>166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/>
  <cp:lastPrinted>2017-08-02T09:04:00Z</cp:lastPrinted>
  <dcterms:modified xsi:type="dcterms:W3CDTF">2023-09-26T22:04:08Z</dcterms:modified>
  <cp:revision>8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